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8"/>
      </w:tblGrid>
      <w:tr w:rsidR="007008BC" w:rsidRPr="00321D6D" w:rsidTr="00086DE6">
        <w:trPr>
          <w:trHeight w:val="11395"/>
          <w:jc w:val="center"/>
        </w:trPr>
        <w:tc>
          <w:tcPr>
            <w:tcW w:w="9298" w:type="dxa"/>
          </w:tcPr>
          <w:p w:rsidR="007008BC" w:rsidRPr="004D750D" w:rsidRDefault="007008BC" w:rsidP="00C74738">
            <w:pPr>
              <w:pStyle w:val="1"/>
              <w:spacing w:before="90" w:after="90" w:line="300" w:lineRule="exact"/>
            </w:pPr>
            <w:r w:rsidRPr="004D750D">
              <w:t>進出廠區規定：</w:t>
            </w:r>
          </w:p>
          <w:p w:rsidR="007008BC" w:rsidRPr="00321D6D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進出廠區之人員及車輛均應登記：非相關人員不得進入廠區。</w:t>
            </w:r>
          </w:p>
          <w:p w:rsidR="007008BC" w:rsidRPr="00321D6D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每家廠商送貨之車輛或載運設備之車輛進入廠區，貨物或設備卸下後，須將車輛移至停車場，其他車輛及摩托車則禁止進入廠區。</w:t>
            </w:r>
          </w:p>
          <w:p w:rsidR="007008BC" w:rsidRPr="00321D6D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所有人員、送貨車輛及攜入之物品均應接受檢查。</w:t>
            </w:r>
          </w:p>
          <w:p w:rsidR="007008BC" w:rsidRPr="00321D6D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任何人不得攜入刀槍、彈藥、酒精類、麻醉藥、毒品、動物等。</w:t>
            </w:r>
          </w:p>
          <w:p w:rsidR="007008BC" w:rsidRPr="00321D6D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請承攬商自行準備進入廠區應配戴之安全眼鏡、安全帽、安全鞋。訪客可不穿安全鞋，其它裝備可向本公司借用。各種安全設備之規格依本公司規定準備之。廠商應負保管責任，並於當天離廠時交回。</w:t>
            </w:r>
          </w:p>
          <w:p w:rsidR="007008BC" w:rsidRPr="00321D6D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停車場及廠內行車速限一律為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公里"/>
              </w:smartTagPr>
              <w:r w:rsidRPr="00321D6D">
                <w:t>20公里</w:t>
              </w:r>
            </w:smartTag>
            <w:r w:rsidRPr="00321D6D">
              <w:t>／時。</w:t>
            </w:r>
          </w:p>
          <w:p w:rsidR="007008BC" w:rsidRPr="00321D6D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本公司之物品如須出廠，必須簽發放行單；廠商本身之工具、設備、材料，須於入廠時向</w:t>
            </w:r>
            <w:r w:rsidRPr="00AE1A03">
              <w:rPr>
                <w:rFonts w:hint="eastAsia"/>
              </w:rPr>
              <w:t>監工單位</w:t>
            </w:r>
            <w:r w:rsidRPr="00321D6D">
              <w:t>報備，於出廠時清點無誤即可放行。未報備者須有放行單，始可放行。</w:t>
            </w:r>
          </w:p>
          <w:p w:rsidR="007008BC" w:rsidRPr="00321D6D" w:rsidRDefault="007008BC" w:rsidP="00C74738">
            <w:pPr>
              <w:pStyle w:val="1"/>
              <w:spacing w:before="90" w:after="90" w:line="300" w:lineRule="exact"/>
            </w:pPr>
            <w:r w:rsidRPr="00321D6D">
              <w:t>廠內規定：</w:t>
            </w:r>
          </w:p>
          <w:p w:rsidR="007008BC" w:rsidRPr="0025157B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321D6D">
              <w:t>入廠工作的</w:t>
            </w:r>
            <w:r w:rsidRPr="0025157B">
              <w:t>每一家廠商，每天應指派一位工地負責人（領班），負責所有工作的管理及安全督導。</w:t>
            </w:r>
          </w:p>
          <w:p w:rsidR="007008BC" w:rsidRPr="00AE1A03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25157B">
              <w:t>廠商在本廠之工作時間為週一至週五上午8：00至下午17：00，中午12：</w:t>
            </w:r>
            <w:r w:rsidRPr="007B3209">
              <w:t>00</w:t>
            </w:r>
            <w:r w:rsidRPr="00293E86">
              <w:t>至13：00為休息時間。非</w:t>
            </w:r>
            <w:r w:rsidRPr="008A3528">
              <w:rPr>
                <w:rFonts w:hint="eastAsia"/>
              </w:rPr>
              <w:t>經許可</w:t>
            </w:r>
            <w:r w:rsidRPr="00AE1A03">
              <w:t>請勿在休息時間及本公司例假日工作。</w:t>
            </w:r>
          </w:p>
          <w:p w:rsidR="007008BC" w:rsidRPr="00AE1A03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AE1A03">
              <w:t>凡進入廠內，承攬施工人員須至警衛室簽到，並必須遵守各項相關的安全規定。</w:t>
            </w:r>
          </w:p>
          <w:p w:rsidR="007008BC" w:rsidRPr="00AE1A03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AE1A03">
              <w:t>違反安全規定者，將會被請出廠外，情節重大者將不得再進入本公司工作。</w:t>
            </w:r>
          </w:p>
          <w:p w:rsidR="007008BC" w:rsidRPr="00AE1A03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AE1A03">
              <w:t>除緊急或有安全危害之狀況以外，在廠內不准跑步。</w:t>
            </w:r>
          </w:p>
          <w:p w:rsidR="007008BC" w:rsidRPr="00AE1A03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AE1A03">
              <w:t>請穿著整齊、合宜的服裝，不可著拖鞋、汗衫、背心、短褲等衣物。</w:t>
            </w:r>
          </w:p>
          <w:p w:rsidR="007008BC" w:rsidRPr="00AE1A03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AE1A03">
              <w:t>請至廠外或在廠商所屬之地區內</w:t>
            </w:r>
            <w:r w:rsidRPr="00AE1A03">
              <w:rPr>
                <w:rFonts w:hint="eastAsia"/>
              </w:rPr>
              <w:t>或至本公司指定之處所</w:t>
            </w:r>
            <w:r w:rsidRPr="00AE1A03">
              <w:t>用餐。</w:t>
            </w:r>
          </w:p>
          <w:p w:rsidR="007008BC" w:rsidRPr="0025157B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AE1A03">
              <w:t>請在指定之地點休息、喝水、盥洗、衛廁、更衣等，其地點請洽環安處</w:t>
            </w:r>
            <w:r w:rsidRPr="0025157B">
              <w:t>。</w:t>
            </w:r>
          </w:p>
          <w:p w:rsidR="007008BC" w:rsidRPr="0025157B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25157B">
              <w:t>吸煙請在指定地點，廠內一律不准嚼檳榔及飲用含酒精成份之飲料。</w:t>
            </w:r>
          </w:p>
          <w:p w:rsidR="007008BC" w:rsidRPr="0025157B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25157B">
              <w:t>廠內禁止賭博、盜竊、打架、嬉鬧、追逐、罷工或滋事等。</w:t>
            </w:r>
          </w:p>
          <w:p w:rsidR="007008BC" w:rsidRPr="0025157B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25157B">
              <w:t>行走樓梯，請一步一階慢行，並手扶欄杆。</w:t>
            </w:r>
          </w:p>
          <w:p w:rsidR="007008BC" w:rsidRPr="0025157B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25157B">
              <w:t>在廠內工作之承攬商，均應接受安全訓練、講習及相關會議。</w:t>
            </w:r>
          </w:p>
          <w:p w:rsidR="007008BC" w:rsidRPr="00293E86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7B3209">
              <w:t>遇有緊急警報及廣播時，應迅速至控制大樓旁之停車場</w:t>
            </w:r>
            <w:r w:rsidRPr="00293E86">
              <w:t>集合，並清點人數。</w:t>
            </w:r>
          </w:p>
          <w:p w:rsidR="007008BC" w:rsidRDefault="007008BC" w:rsidP="005D59D7">
            <w:pPr>
              <w:pStyle w:val="2-2"/>
              <w:spacing w:beforeLines="25" w:before="90" w:afterLines="25" w:after="90" w:line="300" w:lineRule="exact"/>
              <w:ind w:right="48"/>
            </w:pPr>
            <w:r w:rsidRPr="00AE1A03">
              <w:t>照相機、錄影機</w:t>
            </w:r>
            <w:r w:rsidRPr="00321D6D">
              <w:t>等設備非經許可，禁止攜入</w:t>
            </w:r>
            <w:r>
              <w:rPr>
                <w:rFonts w:hint="eastAsia"/>
              </w:rPr>
              <w:t>拍攝</w:t>
            </w:r>
            <w:r w:rsidRPr="00321D6D">
              <w:t>。</w:t>
            </w:r>
          </w:p>
          <w:p w:rsidR="007008BC" w:rsidRDefault="007008BC" w:rsidP="00C74738">
            <w:pPr>
              <w:pStyle w:val="1"/>
              <w:spacing w:before="90" w:after="90" w:line="300" w:lineRule="exact"/>
            </w:pPr>
            <w:r w:rsidRPr="00184EFD">
              <w:t>工作中規定：</w:t>
            </w:r>
          </w:p>
          <w:p w:rsidR="007008BC" w:rsidRDefault="007008BC" w:rsidP="00436829">
            <w:pPr>
              <w:pStyle w:val="2-2"/>
              <w:spacing w:beforeLines="25" w:before="90" w:afterLines="50" w:after="180" w:line="300" w:lineRule="exact"/>
              <w:ind w:right="48"/>
              <w:rPr>
                <w:spacing w:val="-4"/>
              </w:rPr>
            </w:pPr>
            <w:r w:rsidRPr="00AE1A03">
              <w:rPr>
                <w:spacing w:val="-4"/>
              </w:rPr>
              <w:t>工作之前，須確實瞭解各種相關工作程序與安全須知，並遵循程序執行工作</w:t>
            </w:r>
            <w:r w:rsidRPr="00AE1A03">
              <w:rPr>
                <w:rFonts w:hint="eastAsia"/>
                <w:spacing w:val="-4"/>
              </w:rPr>
              <w:t>(</w:t>
            </w:r>
            <w:r w:rsidRPr="00AE1A03">
              <w:rPr>
                <w:spacing w:val="-4"/>
              </w:rPr>
              <w:t>由維修處</w:t>
            </w:r>
            <w:r w:rsidRPr="00AE1A03">
              <w:rPr>
                <w:rFonts w:hint="eastAsia"/>
                <w:spacing w:val="-4"/>
              </w:rPr>
              <w:t>處長</w:t>
            </w:r>
            <w:r w:rsidRPr="00AE1A03">
              <w:rPr>
                <w:spacing w:val="-4"/>
              </w:rPr>
              <w:t>、生產處廠長或</w:t>
            </w:r>
            <w:r w:rsidRPr="00AE1A03">
              <w:rPr>
                <w:spacing w:val="-4"/>
                <w:u w:color="FFFF00"/>
              </w:rPr>
              <w:t>環安處主管</w:t>
            </w:r>
            <w:r w:rsidRPr="00AE1A03">
              <w:rPr>
                <w:spacing w:val="-4"/>
              </w:rPr>
              <w:t>說明工作程序，並督導工作進行</w:t>
            </w:r>
            <w:r w:rsidRPr="00AE1A03">
              <w:rPr>
                <w:rFonts w:hint="eastAsia"/>
                <w:spacing w:val="-4"/>
              </w:rPr>
              <w:t>)</w:t>
            </w:r>
            <w:r w:rsidRPr="00AE1A03">
              <w:rPr>
                <w:spacing w:val="-4"/>
              </w:rPr>
              <w:t>。</w:t>
            </w:r>
          </w:p>
          <w:p w:rsidR="00436829" w:rsidRDefault="0010702A" w:rsidP="004C7D1B">
            <w:pPr>
              <w:pStyle w:val="2-2"/>
              <w:spacing w:beforeLines="75" w:before="270" w:afterLines="25" w:after="90" w:line="300" w:lineRule="exact"/>
              <w:ind w:right="48"/>
            </w:pPr>
            <w:r w:rsidRPr="00184EFD">
              <w:lastRenderedPageBreak/>
              <w:t>任何工作，必須在工作的當天或當班，</w:t>
            </w:r>
            <w:proofErr w:type="gramStart"/>
            <w:r w:rsidRPr="00184EFD">
              <w:t>簽妥該項</w:t>
            </w:r>
            <w:proofErr w:type="gramEnd"/>
            <w:r w:rsidRPr="00184EFD">
              <w:t>工作的許可單，並將其張貼或存放於現場，換班時須重新核准。與儀電相關的工作須由維修主管會簽。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工作區域須設圍欄、</w:t>
            </w:r>
            <w:proofErr w:type="gramStart"/>
            <w:r w:rsidRPr="009A2D53">
              <w:t>圍繩或警示帶</w:t>
            </w:r>
            <w:proofErr w:type="gramEnd"/>
            <w:r w:rsidRPr="009A2D53">
              <w:t>，掛好標籤，限制不相關的人進入。不可擅自進入別人的工作區域。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須遵守各種安全標示、警報或訊號，以及區域安全規則，不得任意取下各種標示牌或標籤。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經常保持工作區</w:t>
            </w:r>
            <w:r w:rsidRPr="009A2D53">
              <w:rPr>
                <w:rFonts w:hint="eastAsia"/>
              </w:rPr>
              <w:t>域</w:t>
            </w:r>
            <w:r w:rsidRPr="009A2D53">
              <w:t>的整潔與衛生。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須接受本公司定期安全檢查，並執行改進措施。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支援現場之工作必須與現場人員共</w:t>
            </w:r>
            <w:bookmarkStart w:id="0" w:name="_GoBack"/>
            <w:bookmarkEnd w:id="0"/>
            <w:r w:rsidRPr="009A2D53">
              <w:t>同工作，若接觸到有害物質時，請立刻用毛巾擦拭，再以水沖洗。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任何的傷害或意外事件，不論大小程度或是否有人員受傷，應立刻報告本公司</w:t>
            </w:r>
            <w:r w:rsidRPr="009A2D53">
              <w:rPr>
                <w:rFonts w:hint="eastAsia"/>
                <w:u w:color="FFFF00"/>
              </w:rPr>
              <w:t>監工單位、</w:t>
            </w:r>
            <w:r w:rsidRPr="009A2D53">
              <w:rPr>
                <w:u w:color="FFFF00"/>
              </w:rPr>
              <w:t>環安處主管</w:t>
            </w:r>
            <w:r w:rsidRPr="009A2D53">
              <w:t>及環安人員。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關於危險物品（化學品），應遵守下列規定：</w:t>
            </w:r>
          </w:p>
          <w:p w:rsidR="00C74738" w:rsidRPr="009A2D53" w:rsidRDefault="00C74738" w:rsidP="00436829">
            <w:pPr>
              <w:pStyle w:val="2-3"/>
              <w:spacing w:beforeLines="25" w:before="90" w:after="90" w:line="300" w:lineRule="exact"/>
              <w:rPr>
                <w:sz w:val="24"/>
              </w:rPr>
            </w:pPr>
            <w:r w:rsidRPr="009A2D53">
              <w:rPr>
                <w:sz w:val="24"/>
              </w:rPr>
              <w:t>攜入廠內之物品及設備應先</w:t>
            </w:r>
            <w:r w:rsidRPr="009A2D53">
              <w:rPr>
                <w:rFonts w:hint="eastAsia"/>
                <w:sz w:val="24"/>
              </w:rPr>
              <w:t>告知</w:t>
            </w:r>
            <w:r w:rsidRPr="009A2D53">
              <w:rPr>
                <w:rFonts w:hint="eastAsia"/>
                <w:sz w:val="24"/>
                <w:u w:color="FFFF00"/>
              </w:rPr>
              <w:t>監工單位</w:t>
            </w:r>
            <w:r w:rsidRPr="009A2D53">
              <w:rPr>
                <w:sz w:val="24"/>
              </w:rPr>
              <w:t>。</w:t>
            </w:r>
          </w:p>
          <w:p w:rsidR="00C74738" w:rsidRPr="009A2D53" w:rsidRDefault="00C74738" w:rsidP="00436829">
            <w:pPr>
              <w:pStyle w:val="2-3"/>
              <w:spacing w:beforeLines="25" w:before="90" w:after="90" w:line="300" w:lineRule="exact"/>
              <w:rPr>
                <w:sz w:val="24"/>
              </w:rPr>
            </w:pPr>
            <w:r w:rsidRPr="009A2D53">
              <w:rPr>
                <w:sz w:val="24"/>
              </w:rPr>
              <w:t>化學品須有安全資料表(SDS)</w:t>
            </w:r>
            <w:r w:rsidRPr="009A2D53">
              <w:rPr>
                <w:rFonts w:hint="eastAsia"/>
                <w:sz w:val="24"/>
              </w:rPr>
              <w:t>及危害物質標示(GHS)</w:t>
            </w:r>
            <w:r w:rsidRPr="009A2D53">
              <w:rPr>
                <w:sz w:val="24"/>
              </w:rPr>
              <w:t>。</w:t>
            </w:r>
          </w:p>
          <w:p w:rsidR="00C74738" w:rsidRPr="009A2D53" w:rsidRDefault="00C74738" w:rsidP="00436829">
            <w:pPr>
              <w:pStyle w:val="2-3"/>
              <w:spacing w:beforeLines="25" w:before="90" w:after="90" w:line="300" w:lineRule="exact"/>
              <w:rPr>
                <w:sz w:val="24"/>
              </w:rPr>
            </w:pPr>
            <w:r w:rsidRPr="009A2D53">
              <w:rPr>
                <w:sz w:val="24"/>
              </w:rPr>
              <w:t>須在容器外標示物</w:t>
            </w:r>
            <w:r w:rsidRPr="009A2D53">
              <w:rPr>
                <w:rFonts w:hint="eastAsia"/>
                <w:sz w:val="24"/>
              </w:rPr>
              <w:t>品</w:t>
            </w:r>
            <w:r w:rsidRPr="009A2D53">
              <w:rPr>
                <w:sz w:val="24"/>
              </w:rPr>
              <w:t>名稱。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所有的電器設備，必須使用三支腳的插頭（附有接地線者），所使用之插座位置應遵循維修處人員之指示。</w:t>
            </w:r>
          </w:p>
          <w:p w:rsidR="00C74738" w:rsidRPr="009A2D53" w:rsidRDefault="00C74738" w:rsidP="00436829">
            <w:pPr>
              <w:pStyle w:val="2-2"/>
              <w:spacing w:beforeLines="25" w:before="90" w:afterLines="25" w:after="90" w:line="300" w:lineRule="exact"/>
              <w:ind w:right="48"/>
            </w:pPr>
            <w:r w:rsidRPr="009A2D53">
              <w:t>不可擅自切斷或接通廠內所屬之電源或閥門；如因工作需要，而必須切斷或接通時，應徵得</w:t>
            </w:r>
            <w:r w:rsidRPr="009A2D53">
              <w:rPr>
                <w:rFonts w:hint="eastAsia"/>
              </w:rPr>
              <w:t>維修</w:t>
            </w:r>
            <w:r w:rsidRPr="009A2D53">
              <w:t>處之許可，由本公司派員斷電或關閉，且須按上鎖程序上鎖之。</w:t>
            </w:r>
          </w:p>
          <w:p w:rsidR="00C74738" w:rsidRPr="009A2D53" w:rsidRDefault="00C74738" w:rsidP="00436829">
            <w:pPr>
              <w:pStyle w:val="2-2"/>
              <w:spacing w:before="18" w:after="18" w:line="300" w:lineRule="exact"/>
              <w:ind w:right="48"/>
            </w:pPr>
            <w:r w:rsidRPr="009A2D53">
              <w:t>下列工作，必須向環安處主管取得</w:t>
            </w:r>
            <w:r w:rsidRPr="009A2D53">
              <w:rPr>
                <w:rFonts w:hint="eastAsia"/>
              </w:rPr>
              <w:t>危險性作業</w:t>
            </w:r>
            <w:r w:rsidRPr="009A2D53">
              <w:t>許可，並遵守相關注意事項：</w:t>
            </w:r>
          </w:p>
          <w:p w:rsidR="00C74738" w:rsidRPr="009A2D53" w:rsidRDefault="00C74738" w:rsidP="00436829">
            <w:pPr>
              <w:pStyle w:val="2-3"/>
              <w:spacing w:before="25" w:after="90" w:line="300" w:lineRule="exact"/>
              <w:rPr>
                <w:sz w:val="24"/>
              </w:rPr>
            </w:pPr>
            <w:r w:rsidRPr="009A2D53">
              <w:rPr>
                <w:sz w:val="24"/>
              </w:rPr>
              <w:t>動火作業(</w:t>
            </w:r>
            <w:r w:rsidRPr="009A2D53">
              <w:rPr>
                <w:rFonts w:hint="eastAsia"/>
                <w:sz w:val="24"/>
              </w:rPr>
              <w:t>在液氧及柴油動火管制區使用</w:t>
            </w:r>
            <w:r w:rsidRPr="009A2D53">
              <w:rPr>
                <w:sz w:val="24"/>
              </w:rPr>
              <w:t>電焊、氬焊、噴燈、切割、熱風槍等)</w:t>
            </w:r>
          </w:p>
          <w:p w:rsidR="00C74738" w:rsidRPr="009A2D53" w:rsidRDefault="00C74738" w:rsidP="00436829">
            <w:pPr>
              <w:pStyle w:val="2-3"/>
              <w:spacing w:before="25" w:after="90" w:line="300" w:lineRule="exact"/>
              <w:rPr>
                <w:sz w:val="24"/>
              </w:rPr>
            </w:pPr>
            <w:r w:rsidRPr="009A2D53">
              <w:rPr>
                <w:sz w:val="24"/>
              </w:rPr>
              <w:t>高架、高空作業(垂直離地高度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A2D53">
                <w:rPr>
                  <w:sz w:val="24"/>
                </w:rPr>
                <w:t>2m</w:t>
              </w:r>
            </w:smartTag>
            <w:r w:rsidRPr="009A2D53">
              <w:rPr>
                <w:sz w:val="24"/>
              </w:rPr>
              <w:t>以上)</w:t>
            </w:r>
          </w:p>
          <w:p w:rsidR="00C74738" w:rsidRPr="009A2D53" w:rsidRDefault="00C74738" w:rsidP="00436829">
            <w:pPr>
              <w:pStyle w:val="2-3"/>
              <w:spacing w:before="25" w:after="90" w:line="300" w:lineRule="exact"/>
              <w:rPr>
                <w:sz w:val="24"/>
              </w:rPr>
            </w:pPr>
            <w:r w:rsidRPr="009A2D53">
              <w:rPr>
                <w:sz w:val="24"/>
              </w:rPr>
              <w:t>吊掛作業(吊</w:t>
            </w:r>
            <w:r w:rsidRPr="009A2D53">
              <w:rPr>
                <w:rFonts w:hint="eastAsia"/>
                <w:sz w:val="24"/>
              </w:rPr>
              <w:t>車、天車作業</w:t>
            </w:r>
            <w:r w:rsidRPr="009A2D53">
              <w:rPr>
                <w:sz w:val="24"/>
              </w:rPr>
              <w:t>)</w:t>
            </w:r>
          </w:p>
          <w:p w:rsidR="00C74738" w:rsidRPr="009A2D53" w:rsidRDefault="00C74738" w:rsidP="00436829">
            <w:pPr>
              <w:pStyle w:val="2-3"/>
              <w:spacing w:before="25" w:after="90" w:line="300" w:lineRule="exact"/>
              <w:rPr>
                <w:sz w:val="24"/>
              </w:rPr>
            </w:pPr>
            <w:r w:rsidRPr="009A2D53">
              <w:rPr>
                <w:rFonts w:hint="eastAsia"/>
                <w:sz w:val="24"/>
              </w:rPr>
              <w:t>危險</w:t>
            </w:r>
            <w:r w:rsidRPr="009A2D53">
              <w:rPr>
                <w:sz w:val="24"/>
              </w:rPr>
              <w:t>管路拆卸、鑽孔等工程(</w:t>
            </w:r>
            <w:r w:rsidRPr="009A2D53">
              <w:rPr>
                <w:rFonts w:hint="eastAsia"/>
                <w:sz w:val="24"/>
              </w:rPr>
              <w:t>液氧及柴油管線之</w:t>
            </w:r>
            <w:r w:rsidRPr="009A2D53">
              <w:rPr>
                <w:sz w:val="24"/>
              </w:rPr>
              <w:t>拆卸、鑽孔</w:t>
            </w:r>
            <w:r w:rsidRPr="009A2D53">
              <w:rPr>
                <w:rFonts w:hint="eastAsia"/>
                <w:sz w:val="24"/>
              </w:rPr>
              <w:t>等作業)</w:t>
            </w:r>
          </w:p>
          <w:p w:rsidR="00C74738" w:rsidRPr="009A2D53" w:rsidRDefault="00C74738" w:rsidP="00436829">
            <w:pPr>
              <w:pStyle w:val="2-3"/>
              <w:spacing w:before="25" w:after="90" w:line="300" w:lineRule="exact"/>
              <w:rPr>
                <w:sz w:val="24"/>
              </w:rPr>
            </w:pPr>
            <w:r w:rsidRPr="009A2D53">
              <w:rPr>
                <w:sz w:val="24"/>
              </w:rPr>
              <w:t>送電作業</w:t>
            </w:r>
            <w:r w:rsidRPr="009A2D53">
              <w:rPr>
                <w:rFonts w:hint="eastAsia"/>
                <w:sz w:val="24"/>
              </w:rPr>
              <w:t>(440V以上高壓電)</w:t>
            </w:r>
          </w:p>
          <w:p w:rsidR="00C74738" w:rsidRPr="009A2D53" w:rsidRDefault="00C74738" w:rsidP="00436829">
            <w:pPr>
              <w:pStyle w:val="2-3"/>
              <w:tabs>
                <w:tab w:val="left" w:pos="2815"/>
              </w:tabs>
              <w:spacing w:beforeLines="25" w:before="90" w:after="90" w:line="300" w:lineRule="exact"/>
              <w:rPr>
                <w:sz w:val="24"/>
              </w:rPr>
            </w:pPr>
            <w:r w:rsidRPr="009A2D53">
              <w:rPr>
                <w:rFonts w:hint="eastAsia"/>
                <w:sz w:val="24"/>
              </w:rPr>
              <w:t>侷</w:t>
            </w:r>
            <w:r w:rsidRPr="009A2D53">
              <w:rPr>
                <w:sz w:val="24"/>
              </w:rPr>
              <w:t>限空間作業</w:t>
            </w:r>
            <w:r w:rsidRPr="009A2D53">
              <w:rPr>
                <w:sz w:val="24"/>
              </w:rPr>
              <w:tab/>
            </w:r>
          </w:p>
          <w:p w:rsidR="00C74738" w:rsidRPr="00184EFD" w:rsidRDefault="00C74738" w:rsidP="00C74738">
            <w:pPr>
              <w:pStyle w:val="a9"/>
              <w:tabs>
                <w:tab w:val="center" w:leader="hyphen" w:pos="8973"/>
              </w:tabs>
              <w:spacing w:line="300" w:lineRule="exact"/>
              <w:ind w:right="0"/>
              <w:rPr>
                <w:rFonts w:ascii="標楷體" w:eastAsia="標楷體" w:hAnsi="標楷體"/>
                <w:szCs w:val="22"/>
              </w:rPr>
            </w:pPr>
            <w:r w:rsidRPr="00184EFD">
              <w:rPr>
                <w:rFonts w:ascii="標楷體" w:eastAsia="標楷體" w:hAnsi="標楷體"/>
                <w:szCs w:val="22"/>
              </w:rPr>
              <w:tab/>
            </w:r>
          </w:p>
          <w:p w:rsidR="00C74738" w:rsidRPr="00AE1A03" w:rsidRDefault="00C74738" w:rsidP="00AA2EF9">
            <w:pPr>
              <w:pStyle w:val="a9"/>
              <w:tabs>
                <w:tab w:val="center" w:leader="hyphen" w:pos="8973"/>
              </w:tabs>
              <w:spacing w:beforeLines="25" w:before="90" w:afterLines="150" w:after="540" w:line="240" w:lineRule="auto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E1A03">
              <w:rPr>
                <w:rFonts w:ascii="標楷體" w:eastAsia="標楷體" w:hAnsi="標楷體"/>
                <w:sz w:val="24"/>
                <w:szCs w:val="24"/>
              </w:rPr>
              <w:t>以上安全規定已經完全瞭解，而且願意遵守安全訓練紀錄</w:t>
            </w:r>
            <w:r w:rsidRPr="00AE1A0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5710E" w:rsidRPr="008D303F" w:rsidRDefault="00C74738" w:rsidP="00AA2EF9">
            <w:pPr>
              <w:pStyle w:val="2-2"/>
              <w:numPr>
                <w:ilvl w:val="0"/>
                <w:numId w:val="0"/>
              </w:numPr>
              <w:spacing w:beforeLines="100" w:before="360" w:afterLines="50" w:after="180"/>
              <w:ind w:leftChars="20" w:left="48" w:right="48" w:firstLine="40"/>
              <w:rPr>
                <w:spacing w:val="-4"/>
              </w:rPr>
            </w:pPr>
            <w:r w:rsidRPr="00476C61">
              <w:rPr>
                <w:sz w:val="28"/>
                <w:szCs w:val="28"/>
              </w:rPr>
              <w:t>承攬商：</w:t>
            </w:r>
            <w:r w:rsidR="00436829" w:rsidRPr="00476C61">
              <w:rPr>
                <w:sz w:val="28"/>
                <w:szCs w:val="28"/>
                <w:u w:val="single"/>
              </w:rPr>
              <w:t xml:space="preserve">               </w:t>
            </w:r>
            <w:r w:rsidRPr="00476C61">
              <w:rPr>
                <w:sz w:val="28"/>
                <w:szCs w:val="28"/>
              </w:rPr>
              <w:t>負責人：</w:t>
            </w:r>
            <w:r w:rsidR="00436829" w:rsidRPr="00476C61">
              <w:rPr>
                <w:sz w:val="28"/>
                <w:szCs w:val="28"/>
                <w:u w:val="single"/>
              </w:rPr>
              <w:t xml:space="preserve">               </w:t>
            </w:r>
            <w:r w:rsidRPr="00476C61">
              <w:rPr>
                <w:sz w:val="28"/>
                <w:szCs w:val="28"/>
              </w:rPr>
              <w:t>日期：</w:t>
            </w:r>
            <w:r w:rsidRPr="00476C61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883696" w:rsidRPr="007008BC" w:rsidRDefault="00883696" w:rsidP="005443C8">
      <w:pPr>
        <w:spacing w:line="100" w:lineRule="exact"/>
      </w:pPr>
    </w:p>
    <w:sectPr w:rsidR="00883696" w:rsidRPr="007008BC" w:rsidSect="004C7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276" w:bottom="1814" w:left="1276" w:header="737" w:footer="8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69" w:rsidRDefault="00A96369" w:rsidP="007F1204">
      <w:r>
        <w:separator/>
      </w:r>
    </w:p>
  </w:endnote>
  <w:endnote w:type="continuationSeparator" w:id="0">
    <w:p w:rsidR="00A96369" w:rsidRDefault="00A96369" w:rsidP="007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A8" w:rsidRDefault="00C922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0D" w:rsidRPr="0010702A" w:rsidRDefault="004D750D" w:rsidP="004D750D">
    <w:pPr>
      <w:pStyle w:val="a5"/>
      <w:jc w:val="right"/>
      <w:rPr>
        <w:rFonts w:ascii="標楷體" w:eastAsia="標楷體" w:hAnsi="標楷體"/>
        <w:sz w:val="24"/>
        <w:szCs w:val="24"/>
      </w:rPr>
    </w:pPr>
    <w:r w:rsidRPr="0010702A">
      <w:rPr>
        <w:rFonts w:ascii="標楷體" w:eastAsia="標楷體" w:hAnsi="標楷體"/>
        <w:sz w:val="24"/>
        <w:szCs w:val="24"/>
      </w:rPr>
      <w:t>【141300-</w:t>
    </w:r>
    <w:r w:rsidRPr="0010702A">
      <w:rPr>
        <w:rFonts w:ascii="標楷體" w:eastAsia="標楷體" w:hAnsi="標楷體" w:hint="eastAsia"/>
        <w:sz w:val="24"/>
        <w:szCs w:val="24"/>
      </w:rPr>
      <w:t>01</w:t>
    </w:r>
    <w:r w:rsidRPr="0010702A">
      <w:rPr>
        <w:rFonts w:ascii="標楷體" w:eastAsia="標楷體" w:hAnsi="標楷體"/>
        <w:sz w:val="24"/>
        <w:szCs w:val="24"/>
      </w:rPr>
      <w:t>A】</w:t>
    </w:r>
  </w:p>
  <w:p w:rsidR="007008BC" w:rsidRDefault="004D750D" w:rsidP="004D750D">
    <w:pPr>
      <w:pStyle w:val="a5"/>
      <w:jc w:val="center"/>
    </w:pPr>
    <w:r>
      <w:rPr>
        <w:noProof/>
      </w:rPr>
      <w:drawing>
        <wp:inline distT="0" distB="0" distL="0" distR="0">
          <wp:extent cx="1985674" cy="417600"/>
          <wp:effectExtent l="0" t="0" r="0" b="1905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公司logo+中文抬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74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A8" w:rsidRDefault="00C92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69" w:rsidRDefault="00A96369" w:rsidP="007F1204">
      <w:r>
        <w:separator/>
      </w:r>
    </w:p>
  </w:footnote>
  <w:footnote w:type="continuationSeparator" w:id="0">
    <w:p w:rsidR="00A96369" w:rsidRDefault="00A96369" w:rsidP="007F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A8" w:rsidRDefault="00C922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BC" w:rsidRPr="004F4078" w:rsidRDefault="00C922A8" w:rsidP="004D750D">
    <w:pPr>
      <w:pStyle w:val="a7"/>
      <w:tabs>
        <w:tab w:val="left" w:pos="3402"/>
      </w:tabs>
      <w:spacing w:before="0" w:afterLines="50" w:line="240" w:lineRule="auto"/>
      <w:jc w:val="left"/>
      <w:rPr>
        <w:rFonts w:ascii="Times New Roman" w:eastAsia="標楷體" w:hAnsi="Times New Roman"/>
      </w:rPr>
    </w:pPr>
    <w:sdt>
      <w:sdtPr>
        <w:rPr>
          <w:rFonts w:eastAsia="標楷體" w:hAnsi="標楷體"/>
          <w:szCs w:val="24"/>
        </w:rPr>
        <w:id w:val="-1951304349"/>
        <w:docPartObj>
          <w:docPartGallery w:val="Watermarks"/>
          <w:docPartUnique/>
        </w:docPartObj>
      </w:sdtPr>
      <w:sdtContent>
        <w:r w:rsidRPr="00C922A8">
          <w:rPr>
            <w:rFonts w:eastAsia="標楷體" w:hAnsi="標楷體"/>
            <w:noProof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62855" o:spid="_x0000_s8193" type="#_x0000_t136" style="position:absolute;margin-left:0;margin-top:0;width:606.6pt;height:40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超研澤疊圓體&quot;;font-size:1pt;v-text-reverse:t" string="台灣鋼聯智慧財產禁止複印及攜出"/>
              <w10:wrap anchorx="margin" anchory="margin"/>
            </v:shape>
          </w:pict>
        </w:r>
      </w:sdtContent>
    </w:sdt>
    <w:r w:rsidR="007008BC" w:rsidRPr="006336E1">
      <w:rPr>
        <w:rFonts w:eastAsia="標楷體" w:hAnsi="標楷體"/>
        <w:szCs w:val="24"/>
      </w:rPr>
      <w:t>保存</w:t>
    </w:r>
    <w:r w:rsidR="007008BC" w:rsidRPr="006336E1">
      <w:rPr>
        <w:rFonts w:eastAsia="標楷體" w:hAnsi="標楷體" w:hint="eastAsia"/>
        <w:szCs w:val="24"/>
      </w:rPr>
      <w:t>年</w:t>
    </w:r>
    <w:r w:rsidR="007008BC" w:rsidRPr="006336E1">
      <w:rPr>
        <w:rFonts w:eastAsia="標楷體" w:hAnsi="標楷體"/>
        <w:szCs w:val="24"/>
      </w:rPr>
      <w:t>限：</w:t>
    </w:r>
    <w:r w:rsidR="007008BC" w:rsidRPr="00A31DA5">
      <w:rPr>
        <w:rFonts w:ascii="標楷體" w:eastAsia="標楷體" w:hAnsi="標楷體" w:hint="eastAsia"/>
        <w:szCs w:val="24"/>
      </w:rPr>
      <w:t>3</w:t>
    </w:r>
    <w:r w:rsidR="007008BC" w:rsidRPr="006336E1">
      <w:rPr>
        <w:rFonts w:eastAsia="標楷體" w:hAnsi="標楷體"/>
        <w:szCs w:val="24"/>
      </w:rPr>
      <w:t>年</w:t>
    </w:r>
    <w:r w:rsidR="007008BC">
      <w:rPr>
        <w:rFonts w:eastAsia="標楷體" w:hAnsi="標楷體"/>
        <w:szCs w:val="24"/>
      </w:rPr>
      <w:tab/>
    </w:r>
    <w:r w:rsidR="007008BC" w:rsidRPr="004F4078">
      <w:rPr>
        <w:rFonts w:ascii="Times New Roman" w:eastAsia="標楷體" w:hAnsi="標楷體"/>
        <w:sz w:val="36"/>
        <w:szCs w:val="36"/>
      </w:rPr>
      <w:t>廠區一般規定</w:t>
    </w:r>
  </w:p>
  <w:p w:rsidR="007008BC" w:rsidRPr="006336E1" w:rsidRDefault="007008BC" w:rsidP="004D750D">
    <w:pPr>
      <w:tabs>
        <w:tab w:val="left" w:pos="6096"/>
      </w:tabs>
      <w:spacing w:afterLines="25" w:after="60"/>
      <w:rPr>
        <w:rFonts w:eastAsia="標楷體" w:hAnsi="標楷體"/>
        <w:szCs w:val="24"/>
      </w:rPr>
    </w:pPr>
    <w:r>
      <w:rPr>
        <w:rFonts w:eastAsia="標楷體" w:hAnsi="標楷體"/>
        <w:szCs w:val="24"/>
      </w:rPr>
      <w:tab/>
    </w:r>
    <w:r w:rsidRPr="006336E1">
      <w:rPr>
        <w:rFonts w:eastAsia="標楷體" w:hAnsi="標楷體" w:hint="eastAsia"/>
        <w:szCs w:val="24"/>
      </w:rPr>
      <w:t>頁</w:t>
    </w:r>
    <w:r>
      <w:rPr>
        <w:rFonts w:eastAsia="標楷體" w:hAnsi="標楷體" w:hint="eastAsia"/>
        <w:szCs w:val="24"/>
      </w:rPr>
      <w:t xml:space="preserve">　　</w:t>
    </w:r>
    <w:r w:rsidRPr="006336E1">
      <w:rPr>
        <w:rFonts w:eastAsia="標楷體" w:hAnsi="標楷體" w:hint="eastAsia"/>
        <w:szCs w:val="24"/>
      </w:rPr>
      <w:t>次：第</w:t>
    </w:r>
    <w:r w:rsidR="00676232">
      <w:rPr>
        <w:rFonts w:ascii="標楷體" w:eastAsia="標楷體" w:hAnsi="標楷體"/>
        <w:szCs w:val="24"/>
      </w:rPr>
      <w:fldChar w:fldCharType="begin"/>
    </w:r>
    <w:r w:rsidR="00676232">
      <w:rPr>
        <w:rFonts w:ascii="標楷體" w:eastAsia="標楷體" w:hAnsi="標楷體"/>
        <w:szCs w:val="24"/>
      </w:rPr>
      <w:instrText xml:space="preserve"> PAGE  \* Arabic  \* MERGEFORMAT </w:instrText>
    </w:r>
    <w:r w:rsidR="00676232">
      <w:rPr>
        <w:rFonts w:ascii="標楷體" w:eastAsia="標楷體" w:hAnsi="標楷體"/>
        <w:szCs w:val="24"/>
      </w:rPr>
      <w:fldChar w:fldCharType="separate"/>
    </w:r>
    <w:r w:rsidR="00C922A8">
      <w:rPr>
        <w:rFonts w:ascii="標楷體" w:eastAsia="標楷體" w:hAnsi="標楷體"/>
        <w:noProof/>
        <w:szCs w:val="24"/>
      </w:rPr>
      <w:t>1</w:t>
    </w:r>
    <w:r w:rsidR="00676232">
      <w:rPr>
        <w:rFonts w:ascii="標楷體" w:eastAsia="標楷體" w:hAnsi="標楷體"/>
        <w:szCs w:val="24"/>
      </w:rPr>
      <w:fldChar w:fldCharType="end"/>
    </w:r>
    <w:r w:rsidRPr="006336E1">
      <w:rPr>
        <w:rFonts w:eastAsia="標楷體" w:hAnsi="標楷體" w:hint="eastAsia"/>
        <w:szCs w:val="24"/>
      </w:rPr>
      <w:t>頁，共</w:t>
    </w:r>
    <w:r w:rsidR="00676232">
      <w:rPr>
        <w:rFonts w:ascii="標楷體" w:eastAsia="標楷體" w:hAnsi="標楷體"/>
        <w:szCs w:val="24"/>
      </w:rPr>
      <w:fldChar w:fldCharType="begin"/>
    </w:r>
    <w:r w:rsidR="00676232">
      <w:rPr>
        <w:rFonts w:ascii="標楷體" w:eastAsia="標楷體" w:hAnsi="標楷體"/>
        <w:szCs w:val="24"/>
      </w:rPr>
      <w:instrText xml:space="preserve"> SECTIONPAGES  \* Arabic  \* MERGEFORMAT </w:instrText>
    </w:r>
    <w:r w:rsidR="00676232">
      <w:rPr>
        <w:rFonts w:ascii="標楷體" w:eastAsia="標楷體" w:hAnsi="標楷體"/>
        <w:szCs w:val="24"/>
      </w:rPr>
      <w:fldChar w:fldCharType="separate"/>
    </w:r>
    <w:r w:rsidR="00C922A8">
      <w:rPr>
        <w:rFonts w:ascii="標楷體" w:eastAsia="標楷體" w:hAnsi="標楷體"/>
        <w:noProof/>
        <w:szCs w:val="24"/>
      </w:rPr>
      <w:t>2</w:t>
    </w:r>
    <w:r w:rsidR="00676232">
      <w:rPr>
        <w:rFonts w:ascii="標楷體" w:eastAsia="標楷體" w:hAnsi="標楷體"/>
        <w:szCs w:val="24"/>
      </w:rPr>
      <w:fldChar w:fldCharType="end"/>
    </w:r>
    <w:r w:rsidRPr="006336E1">
      <w:rPr>
        <w:rFonts w:eastAsia="標楷體" w:hAnsi="標楷體" w:hint="eastAsia"/>
        <w:szCs w:val="24"/>
      </w:rPr>
      <w:t>頁</w:t>
    </w:r>
  </w:p>
  <w:p w:rsidR="007008BC" w:rsidRPr="007008BC" w:rsidRDefault="007008BC" w:rsidP="00436829">
    <w:pPr>
      <w:tabs>
        <w:tab w:val="left" w:pos="6096"/>
      </w:tabs>
      <w:spacing w:afterLines="50" w:after="120"/>
    </w:pPr>
    <w:r>
      <w:rPr>
        <w:rFonts w:eastAsia="標楷體" w:hAnsi="標楷體"/>
        <w:szCs w:val="24"/>
      </w:rPr>
      <w:tab/>
    </w:r>
    <w:r w:rsidRPr="006336E1">
      <w:rPr>
        <w:rFonts w:eastAsia="標楷體" w:hint="eastAsia"/>
        <w:szCs w:val="24"/>
      </w:rPr>
      <w:t>紀</w:t>
    </w:r>
    <w:r w:rsidRPr="006336E1">
      <w:rPr>
        <w:rFonts w:ascii="標楷體" w:eastAsia="標楷體" w:hAnsi="標楷體" w:hint="eastAsia"/>
        <w:szCs w:val="24"/>
      </w:rPr>
      <w:t>錄編號</w:t>
    </w:r>
    <w:r w:rsidRPr="006336E1">
      <w:rPr>
        <w:rFonts w:ascii="標楷體" w:eastAsia="標楷體" w:hAnsi="標楷體"/>
        <w:szCs w:val="24"/>
      </w:rPr>
      <w:t>：</w:t>
    </w:r>
    <w:r w:rsidRPr="006336E1">
      <w:rPr>
        <w:rFonts w:ascii="標楷體" w:eastAsia="標楷體" w:hAnsi="標楷體" w:hint="eastAsia"/>
        <w:szCs w:val="24"/>
      </w:rPr>
      <w:t>NM01-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A8" w:rsidRDefault="00C922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84281"/>
    <w:multiLevelType w:val="multilevel"/>
    <w:tmpl w:val="FF58851E"/>
    <w:lvl w:ilvl="0">
      <w:start w:val="1"/>
      <w:numFmt w:val="taiwaneseCountingThousand"/>
      <w:pStyle w:val="1"/>
      <w:lvlText w:val="%1、"/>
      <w:lvlJc w:val="left"/>
      <w:pPr>
        <w:tabs>
          <w:tab w:val="num" w:pos="510"/>
        </w:tabs>
        <w:ind w:left="510" w:hanging="482"/>
      </w:pPr>
      <w:rPr>
        <w:rFonts w:hint="eastAsia"/>
      </w:rPr>
    </w:lvl>
    <w:lvl w:ilvl="1">
      <w:start w:val="1"/>
      <w:numFmt w:val="decimal"/>
      <w:pStyle w:val="2-2"/>
      <w:lvlText w:val="%2."/>
      <w:lvlJc w:val="left"/>
      <w:pPr>
        <w:tabs>
          <w:tab w:val="num" w:pos="992"/>
        </w:tabs>
        <w:ind w:left="992" w:hanging="482"/>
      </w:pPr>
      <w:rPr>
        <w:rFonts w:ascii="標楷體" w:eastAsia="標楷體" w:hint="eastAsia"/>
        <w:sz w:val="24"/>
      </w:rPr>
    </w:lvl>
    <w:lvl w:ilvl="2">
      <w:start w:val="1"/>
      <w:numFmt w:val="lowerLetter"/>
      <w:pStyle w:val="2-3"/>
      <w:lvlText w:val="%3."/>
      <w:lvlJc w:val="left"/>
      <w:pPr>
        <w:tabs>
          <w:tab w:val="num" w:pos="1247"/>
        </w:tabs>
        <w:ind w:left="1247" w:hanging="255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B3A1A23"/>
    <w:multiLevelType w:val="multilevel"/>
    <w:tmpl w:val="74F084F0"/>
    <w:lvl w:ilvl="0">
      <w:start w:val="1"/>
      <w:numFmt w:val="taiwaneseCountingThousand"/>
      <w:lvlText w:val="第%1條"/>
      <w:lvlJc w:val="left"/>
      <w:pPr>
        <w:tabs>
          <w:tab w:val="num" w:pos="958"/>
        </w:tabs>
        <w:ind w:left="958" w:hanging="958"/>
      </w:pPr>
      <w:rPr>
        <w:rFonts w:ascii="標楷體" w:eastAsia="標楷體" w:hAnsi="標楷體" w:cs="華康標楷體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taiwaneseCountingThousand"/>
      <w:lvlText w:val="%2、"/>
      <w:lvlJc w:val="left"/>
      <w:pPr>
        <w:tabs>
          <w:tab w:val="num" w:pos="1922"/>
        </w:tabs>
        <w:ind w:left="1922" w:hanging="958"/>
      </w:pPr>
      <w:rPr>
        <w:rFonts w:ascii="標楷體" w:eastAsia="標楷體" w:hAnsi="標楷體" w:cs="華康標楷體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taiwaneseCountingThousand"/>
      <w:lvlText w:val="(%3)"/>
      <w:lvlJc w:val="left"/>
      <w:pPr>
        <w:tabs>
          <w:tab w:val="num" w:pos="2880"/>
        </w:tabs>
        <w:ind w:left="2880" w:hanging="958"/>
      </w:pPr>
      <w:rPr>
        <w:rFonts w:ascii="標楷體" w:eastAsia="標楷體" w:hAnsi="標楷體" w:cs="華康標楷體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3362"/>
        </w:tabs>
        <w:ind w:left="3362" w:hanging="48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3844"/>
        </w:tabs>
        <w:ind w:left="3844" w:hanging="48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(%5.%6)"/>
      <w:lvlJc w:val="left"/>
      <w:pPr>
        <w:tabs>
          <w:tab w:val="num" w:pos="4564"/>
        </w:tabs>
        <w:ind w:left="4564" w:hanging="720"/>
      </w:pPr>
      <w:rPr>
        <w:rFonts w:ascii="標楷體" w:eastAsia="標楷體" w:hAnsi="標楷體" w:cs="華康標楷體" w:hint="eastAsia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(%5.%6.%7)"/>
      <w:lvlJc w:val="left"/>
      <w:pPr>
        <w:tabs>
          <w:tab w:val="num" w:pos="5523"/>
        </w:tabs>
        <w:ind w:left="5523" w:hanging="959"/>
      </w:pPr>
      <w:rPr>
        <w:rFonts w:ascii="標楷體" w:eastAsia="標楷體" w:hint="eastAsia"/>
        <w:b w:val="0"/>
        <w:i w:val="0"/>
        <w:sz w:val="24"/>
      </w:rPr>
    </w:lvl>
    <w:lvl w:ilvl="7">
      <w:start w:val="1"/>
      <w:numFmt w:val="decimal"/>
      <w:lvlText w:val="(%5.%6.%7.%8)"/>
      <w:lvlJc w:val="left"/>
      <w:pPr>
        <w:tabs>
          <w:tab w:val="num" w:pos="5523"/>
        </w:tabs>
        <w:ind w:left="6730" w:hanging="1207"/>
      </w:pPr>
      <w:rPr>
        <w:rFonts w:ascii="標楷體" w:eastAsia="標楷體" w:hint="eastAsia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lvl w:ilvl="0">
        <w:start w:val="1"/>
        <w:numFmt w:val="taiwaneseCountingThousand"/>
        <w:lvlText w:val="第%1條"/>
        <w:lvlJc w:val="left"/>
        <w:pPr>
          <w:tabs>
            <w:tab w:val="num" w:pos="958"/>
          </w:tabs>
          <w:ind w:left="958" w:hanging="958"/>
        </w:pPr>
        <w:rPr>
          <w:rFonts w:ascii="標楷體" w:eastAsia="標楷體" w:hAnsi="標楷體" w:cs="華康標楷體" w:hint="eastAsia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sz w:val="24"/>
          <w:szCs w:val="24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922"/>
          </w:tabs>
          <w:ind w:left="1922" w:hanging="958"/>
        </w:pPr>
        <w:rPr>
          <w:rFonts w:ascii="標楷體" w:eastAsia="標楷體" w:hAnsi="標楷體" w:cs="華康標楷體" w:hint="eastAsia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sz w:val="24"/>
          <w:szCs w:val="24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tabs>
            <w:tab w:val="num" w:pos="2880"/>
          </w:tabs>
          <w:ind w:left="2880" w:hanging="958"/>
        </w:pPr>
        <w:rPr>
          <w:rFonts w:ascii="標楷體" w:eastAsia="標楷體" w:hAnsi="標楷體" w:cs="華康標楷體" w:hint="eastAsia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sz w:val="24"/>
          <w:szCs w:val="24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362"/>
          </w:tabs>
          <w:ind w:left="3362" w:hanging="482"/>
        </w:pPr>
        <w:rPr>
          <w:rFonts w:ascii="標楷體" w:eastAsia="標楷體" w:cs="華康標楷體" w:hint="eastAsia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844"/>
          </w:tabs>
          <w:ind w:left="3844" w:hanging="482"/>
        </w:pPr>
        <w:rPr>
          <w:rFonts w:ascii="標楷體" w:eastAsia="標楷體" w:cs="華康標楷體" w:hint="eastAsia"/>
          <w:b w:val="0"/>
          <w:bCs w:val="0"/>
          <w:i w:val="0"/>
          <w:iCs w:val="0"/>
          <w:sz w:val="24"/>
          <w:szCs w:val="24"/>
        </w:rPr>
      </w:lvl>
    </w:lvlOverride>
    <w:lvlOverride w:ilvl="5">
      <w:lvl w:ilvl="5">
        <w:start w:val="1"/>
        <w:numFmt w:val="decimal"/>
        <w:lvlText w:val="(%5.%6)"/>
        <w:lvlJc w:val="left"/>
        <w:pPr>
          <w:tabs>
            <w:tab w:val="num" w:pos="4564"/>
          </w:tabs>
          <w:ind w:left="4564" w:hanging="720"/>
        </w:pPr>
        <w:rPr>
          <w:rFonts w:ascii="標楷體" w:eastAsia="標楷體" w:hAnsi="標楷體" w:cs="華康標楷體" w:hint="eastAsia"/>
          <w:b w:val="0"/>
          <w:bCs w:val="0"/>
          <w:i w:val="0"/>
          <w:iCs w:val="0"/>
          <w:sz w:val="24"/>
          <w:szCs w:val="24"/>
        </w:rPr>
      </w:lvl>
    </w:lvlOverride>
    <w:lvlOverride w:ilvl="6">
      <w:lvl w:ilvl="6">
        <w:start w:val="1"/>
        <w:numFmt w:val="decimal"/>
        <w:lvlText w:val="(%5.%6.%7)"/>
        <w:lvlJc w:val="left"/>
        <w:pPr>
          <w:tabs>
            <w:tab w:val="num" w:pos="5523"/>
          </w:tabs>
          <w:ind w:left="5523" w:hanging="959"/>
        </w:pPr>
        <w:rPr>
          <w:rFonts w:ascii="標楷體" w:eastAsia="標楷體" w:hint="eastAsia"/>
          <w:b w:val="0"/>
          <w:i w:val="0"/>
          <w:sz w:val="24"/>
        </w:rPr>
      </w:lvl>
    </w:lvlOverride>
    <w:lvlOverride w:ilvl="7">
      <w:lvl w:ilvl="7">
        <w:start w:val="1"/>
        <w:numFmt w:val="decimal"/>
        <w:lvlText w:val="(%5.%6.%7.%8)"/>
        <w:lvlJc w:val="left"/>
        <w:pPr>
          <w:tabs>
            <w:tab w:val="num" w:pos="5523"/>
          </w:tabs>
          <w:ind w:left="6736" w:hanging="1213"/>
        </w:pPr>
        <w:rPr>
          <w:rFonts w:ascii="標楷體" w:eastAsia="標楷體" w:hint="eastAsia"/>
          <w:sz w:val="24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562"/>
          </w:tabs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5710E"/>
    <w:rsid w:val="000B5DE2"/>
    <w:rsid w:val="00100AB3"/>
    <w:rsid w:val="0010702A"/>
    <w:rsid w:val="00275286"/>
    <w:rsid w:val="00436829"/>
    <w:rsid w:val="004B0200"/>
    <w:rsid w:val="004C7D1B"/>
    <w:rsid w:val="004D750D"/>
    <w:rsid w:val="005443C8"/>
    <w:rsid w:val="005D59D7"/>
    <w:rsid w:val="00640C52"/>
    <w:rsid w:val="00655C16"/>
    <w:rsid w:val="00676232"/>
    <w:rsid w:val="006C08A1"/>
    <w:rsid w:val="006C7319"/>
    <w:rsid w:val="007008BC"/>
    <w:rsid w:val="0076621E"/>
    <w:rsid w:val="0078634B"/>
    <w:rsid w:val="007F1204"/>
    <w:rsid w:val="00883696"/>
    <w:rsid w:val="00936988"/>
    <w:rsid w:val="00947EBD"/>
    <w:rsid w:val="009A2D53"/>
    <w:rsid w:val="009A6745"/>
    <w:rsid w:val="00A96369"/>
    <w:rsid w:val="00AA2EF9"/>
    <w:rsid w:val="00B96301"/>
    <w:rsid w:val="00C74738"/>
    <w:rsid w:val="00C922A8"/>
    <w:rsid w:val="00DB6A85"/>
    <w:rsid w:val="00E52E58"/>
    <w:rsid w:val="00E91FB4"/>
    <w:rsid w:val="00E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40F6C17D-044D-4591-B722-88C1078A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link w:val="11"/>
    <w:qFormat/>
    <w:rsid w:val="009A2D53"/>
    <w:pPr>
      <w:keepNext/>
      <w:tabs>
        <w:tab w:val="num" w:pos="958"/>
      </w:tabs>
      <w:spacing w:beforeLines="50" w:before="50" w:afterLines="50" w:after="50"/>
      <w:ind w:left="958" w:hanging="958"/>
      <w:outlineLvl w:val="0"/>
    </w:pPr>
    <w:rPr>
      <w:rFonts w:ascii="標楷體" w:eastAsia="標楷體" w:hAnsi="標楷體" w:cs="華康標楷體"/>
      <w:kern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7008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2"/>
    <w:link w:val="30"/>
    <w:qFormat/>
    <w:rsid w:val="009A2D53"/>
    <w:pPr>
      <w:keepNext w:val="0"/>
      <w:keepLines/>
      <w:tabs>
        <w:tab w:val="num" w:pos="2880"/>
      </w:tabs>
      <w:spacing w:afterLines="25" w:after="25" w:line="240" w:lineRule="auto"/>
      <w:ind w:left="2880" w:hanging="958"/>
      <w:jc w:val="both"/>
      <w:outlineLvl w:val="2"/>
    </w:pPr>
    <w:rPr>
      <w:rFonts w:ascii="標楷體" w:eastAsia="標楷體" w:hAnsi="標楷體" w:cs="華康標楷體"/>
      <w:b w:val="0"/>
      <w:bCs w:val="0"/>
      <w:kern w:val="52"/>
      <w:sz w:val="24"/>
      <w:szCs w:val="24"/>
    </w:rPr>
  </w:style>
  <w:style w:type="paragraph" w:styleId="4">
    <w:name w:val="heading 4"/>
    <w:basedOn w:val="3"/>
    <w:link w:val="40"/>
    <w:qFormat/>
    <w:rsid w:val="009A2D53"/>
    <w:pPr>
      <w:keepNext/>
      <w:keepLines w:val="0"/>
      <w:tabs>
        <w:tab w:val="clear" w:pos="2880"/>
        <w:tab w:val="num" w:pos="3362"/>
      </w:tabs>
      <w:ind w:left="3362" w:hanging="482"/>
      <w:outlineLvl w:val="3"/>
    </w:pPr>
  </w:style>
  <w:style w:type="paragraph" w:styleId="5">
    <w:name w:val="heading 5"/>
    <w:basedOn w:val="4"/>
    <w:link w:val="50"/>
    <w:qFormat/>
    <w:rsid w:val="009A2D53"/>
    <w:pPr>
      <w:tabs>
        <w:tab w:val="clear" w:pos="3362"/>
        <w:tab w:val="num" w:pos="3844"/>
      </w:tabs>
      <w:ind w:left="3844"/>
      <w:outlineLvl w:val="4"/>
    </w:pPr>
    <w:rPr>
      <w:rFonts w:hAnsi="Arial"/>
      <w:bCs/>
      <w:szCs w:val="36"/>
    </w:rPr>
  </w:style>
  <w:style w:type="paragraph" w:styleId="6">
    <w:name w:val="heading 6"/>
    <w:basedOn w:val="5"/>
    <w:link w:val="60"/>
    <w:qFormat/>
    <w:rsid w:val="009A2D53"/>
    <w:pPr>
      <w:tabs>
        <w:tab w:val="clear" w:pos="3844"/>
        <w:tab w:val="num" w:pos="4564"/>
      </w:tabs>
      <w:ind w:left="4564" w:hanging="720"/>
      <w:outlineLvl w:val="5"/>
    </w:pPr>
    <w:rPr>
      <w:rFonts w:hAnsi="標楷體"/>
    </w:rPr>
  </w:style>
  <w:style w:type="paragraph" w:styleId="7">
    <w:name w:val="heading 7"/>
    <w:basedOn w:val="6"/>
    <w:link w:val="70"/>
    <w:qFormat/>
    <w:rsid w:val="009A2D53"/>
    <w:pPr>
      <w:tabs>
        <w:tab w:val="clear" w:pos="4564"/>
        <w:tab w:val="num" w:pos="5523"/>
      </w:tabs>
      <w:ind w:left="5523" w:hanging="959"/>
      <w:outlineLvl w:val="6"/>
    </w:pPr>
    <w:rPr>
      <w:rFonts w:ascii="Arial" w:hAnsi="Arial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2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204"/>
    <w:rPr>
      <w:sz w:val="20"/>
      <w:szCs w:val="20"/>
    </w:rPr>
  </w:style>
  <w:style w:type="paragraph" w:customStyle="1" w:styleId="a7">
    <w:name w:val="圖頭"/>
    <w:basedOn w:val="a"/>
    <w:rsid w:val="007F1204"/>
    <w:pPr>
      <w:autoSpaceDN w:val="0"/>
      <w:snapToGrid w:val="0"/>
      <w:spacing w:before="120" w:after="120" w:line="360" w:lineRule="atLeast"/>
      <w:jc w:val="center"/>
    </w:pPr>
    <w:rPr>
      <w:rFonts w:ascii="Arial Black" w:eastAsia="華康粗黑體" w:hAnsi="Arial Black" w:cs="Times New Roman"/>
      <w:spacing w:val="10"/>
      <w:szCs w:val="20"/>
    </w:rPr>
  </w:style>
  <w:style w:type="character" w:styleId="a8">
    <w:name w:val="page number"/>
    <w:basedOn w:val="a0"/>
    <w:rsid w:val="007008BC"/>
  </w:style>
  <w:style w:type="paragraph" w:customStyle="1" w:styleId="1">
    <w:name w:val="樣式1"/>
    <w:basedOn w:val="2"/>
    <w:link w:val="12"/>
    <w:autoRedefine/>
    <w:rsid w:val="0010702A"/>
    <w:pPr>
      <w:numPr>
        <w:numId w:val="1"/>
      </w:numPr>
      <w:spacing w:beforeLines="25" w:before="60" w:afterLines="25" w:after="60" w:line="240" w:lineRule="auto"/>
      <w:ind w:rightChars="20" w:right="48"/>
    </w:pPr>
    <w:rPr>
      <w:rFonts w:ascii="標楷體" w:eastAsia="標楷體" w:hAnsi="標楷體" w:cs="華康標楷體"/>
      <w:b w:val="0"/>
      <w:bCs w:val="0"/>
      <w:kern w:val="52"/>
      <w:sz w:val="24"/>
      <w:szCs w:val="24"/>
    </w:rPr>
  </w:style>
  <w:style w:type="paragraph" w:customStyle="1" w:styleId="a9">
    <w:name w:val="表格文字"/>
    <w:basedOn w:val="a"/>
    <w:link w:val="aa"/>
    <w:rsid w:val="007008BC"/>
    <w:pPr>
      <w:autoSpaceDN w:val="0"/>
      <w:snapToGrid w:val="0"/>
      <w:spacing w:line="360" w:lineRule="atLeast"/>
      <w:ind w:left="57" w:right="57"/>
      <w:jc w:val="both"/>
    </w:pPr>
    <w:rPr>
      <w:rFonts w:ascii="Times New Roman" w:eastAsia="細明體" w:hAnsi="Times New Roman" w:cs="Times New Roman"/>
      <w:sz w:val="22"/>
      <w:szCs w:val="20"/>
    </w:rPr>
  </w:style>
  <w:style w:type="paragraph" w:customStyle="1" w:styleId="2-2">
    <w:name w:val="標題2-2"/>
    <w:basedOn w:val="a"/>
    <w:link w:val="2-20"/>
    <w:qFormat/>
    <w:rsid w:val="007008BC"/>
    <w:pPr>
      <w:keepNext/>
      <w:numPr>
        <w:ilvl w:val="1"/>
        <w:numId w:val="1"/>
      </w:numPr>
      <w:spacing w:beforeLines="5" w:before="5" w:afterLines="5" w:after="5"/>
      <w:ind w:rightChars="20" w:right="20"/>
      <w:outlineLvl w:val="1"/>
    </w:pPr>
    <w:rPr>
      <w:rFonts w:ascii="標楷體" w:eastAsia="標楷體" w:hAnsi="標楷體" w:cs="華康標楷體"/>
      <w:kern w:val="52"/>
      <w:szCs w:val="24"/>
    </w:rPr>
  </w:style>
  <w:style w:type="character" w:customStyle="1" w:styleId="12">
    <w:name w:val="樣式1 字元"/>
    <w:basedOn w:val="20"/>
    <w:link w:val="1"/>
    <w:rsid w:val="0010702A"/>
    <w:rPr>
      <w:rFonts w:ascii="標楷體" w:eastAsia="標楷體" w:hAnsi="標楷體" w:cs="華康標楷體"/>
      <w:b w:val="0"/>
      <w:bCs w:val="0"/>
      <w:kern w:val="52"/>
      <w:sz w:val="48"/>
      <w:szCs w:val="24"/>
    </w:rPr>
  </w:style>
  <w:style w:type="paragraph" w:customStyle="1" w:styleId="2-3">
    <w:name w:val="標題2-3"/>
    <w:basedOn w:val="a"/>
    <w:link w:val="2-30"/>
    <w:qFormat/>
    <w:rsid w:val="007008BC"/>
    <w:pPr>
      <w:keepNext/>
      <w:numPr>
        <w:ilvl w:val="2"/>
        <w:numId w:val="1"/>
      </w:numPr>
      <w:spacing w:afterLines="25" w:after="60"/>
      <w:outlineLvl w:val="1"/>
    </w:pPr>
    <w:rPr>
      <w:rFonts w:ascii="標楷體" w:eastAsia="標楷體" w:hAnsi="標楷體" w:cs="華康標楷體"/>
      <w:kern w:val="52"/>
      <w:sz w:val="22"/>
      <w:szCs w:val="24"/>
    </w:rPr>
  </w:style>
  <w:style w:type="character" w:customStyle="1" w:styleId="2-20">
    <w:name w:val="標題2-2 字元"/>
    <w:basedOn w:val="a0"/>
    <w:link w:val="2-2"/>
    <w:rsid w:val="007008BC"/>
    <w:rPr>
      <w:rFonts w:ascii="標楷體" w:eastAsia="標楷體" w:hAnsi="標楷體" w:cs="華康標楷體"/>
      <w:kern w:val="52"/>
      <w:szCs w:val="24"/>
    </w:rPr>
  </w:style>
  <w:style w:type="character" w:customStyle="1" w:styleId="aa">
    <w:name w:val="表格文字 字元"/>
    <w:basedOn w:val="a0"/>
    <w:link w:val="a9"/>
    <w:rsid w:val="007008BC"/>
    <w:rPr>
      <w:rFonts w:ascii="Times New Roman" w:eastAsia="細明體" w:hAnsi="Times New Roman" w:cs="Times New Roman"/>
      <w:sz w:val="22"/>
      <w:szCs w:val="20"/>
    </w:rPr>
  </w:style>
  <w:style w:type="character" w:customStyle="1" w:styleId="2-30">
    <w:name w:val="標題2-3 字元"/>
    <w:basedOn w:val="aa"/>
    <w:link w:val="2-3"/>
    <w:rsid w:val="007008BC"/>
    <w:rPr>
      <w:rFonts w:ascii="標楷體" w:eastAsia="標楷體" w:hAnsi="標楷體" w:cs="華康標楷體"/>
      <w:kern w:val="52"/>
      <w:sz w:val="22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7008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標題 1 字元"/>
    <w:basedOn w:val="a0"/>
    <w:link w:val="10"/>
    <w:rsid w:val="009A2D53"/>
    <w:rPr>
      <w:rFonts w:ascii="標楷體" w:eastAsia="標楷體" w:hAnsi="標楷體" w:cs="華康標楷體"/>
      <w:kern w:val="52"/>
      <w:szCs w:val="24"/>
    </w:rPr>
  </w:style>
  <w:style w:type="character" w:customStyle="1" w:styleId="30">
    <w:name w:val="標題 3 字元"/>
    <w:basedOn w:val="a0"/>
    <w:link w:val="3"/>
    <w:rsid w:val="009A2D53"/>
    <w:rPr>
      <w:rFonts w:ascii="標楷體" w:eastAsia="標楷體" w:hAnsi="標楷體" w:cs="華康標楷體"/>
      <w:kern w:val="52"/>
      <w:szCs w:val="24"/>
    </w:rPr>
  </w:style>
  <w:style w:type="character" w:customStyle="1" w:styleId="40">
    <w:name w:val="標題 4 字元"/>
    <w:basedOn w:val="a0"/>
    <w:link w:val="4"/>
    <w:rsid w:val="009A2D53"/>
    <w:rPr>
      <w:rFonts w:ascii="標楷體" w:eastAsia="標楷體" w:hAnsi="標楷體" w:cs="華康標楷體"/>
      <w:kern w:val="52"/>
      <w:szCs w:val="24"/>
    </w:rPr>
  </w:style>
  <w:style w:type="character" w:customStyle="1" w:styleId="50">
    <w:name w:val="標題 5 字元"/>
    <w:basedOn w:val="a0"/>
    <w:link w:val="5"/>
    <w:rsid w:val="009A2D53"/>
    <w:rPr>
      <w:rFonts w:ascii="標楷體" w:eastAsia="標楷體" w:hAnsi="Arial" w:cs="華康標楷體"/>
      <w:bCs/>
      <w:kern w:val="52"/>
      <w:szCs w:val="36"/>
    </w:rPr>
  </w:style>
  <w:style w:type="character" w:customStyle="1" w:styleId="60">
    <w:name w:val="標題 6 字元"/>
    <w:basedOn w:val="a0"/>
    <w:link w:val="6"/>
    <w:rsid w:val="009A2D53"/>
    <w:rPr>
      <w:rFonts w:ascii="標楷體" w:eastAsia="標楷體" w:hAnsi="標楷體" w:cs="華康標楷體"/>
      <w:bCs/>
      <w:kern w:val="52"/>
      <w:szCs w:val="36"/>
    </w:rPr>
  </w:style>
  <w:style w:type="character" w:customStyle="1" w:styleId="70">
    <w:name w:val="標題 7 字元"/>
    <w:basedOn w:val="a0"/>
    <w:link w:val="7"/>
    <w:rsid w:val="009A2D53"/>
    <w:rPr>
      <w:rFonts w:ascii="Arial" w:eastAsia="標楷體" w:hAnsi="Arial" w:cs="華康標楷體"/>
      <w:kern w:val="52"/>
      <w:szCs w:val="36"/>
    </w:rPr>
  </w:style>
  <w:style w:type="paragraph" w:customStyle="1" w:styleId="21">
    <w:name w:val="樣式 標題 2 + 行距:  單行間距"/>
    <w:basedOn w:val="2"/>
    <w:rsid w:val="009A2D53"/>
    <w:pPr>
      <w:numPr>
        <w:ilvl w:val="1"/>
      </w:numPr>
      <w:tabs>
        <w:tab w:val="num" w:pos="1922"/>
      </w:tabs>
      <w:spacing w:afterLines="25" w:after="25" w:line="240" w:lineRule="auto"/>
      <w:ind w:left="1922" w:hanging="958"/>
    </w:pPr>
    <w:rPr>
      <w:rFonts w:ascii="標楷體" w:eastAsia="標楷體" w:hAnsi="標楷體" w:cs="新細明體"/>
      <w:bCs w:val="0"/>
      <w:kern w:val="52"/>
      <w:sz w:val="24"/>
      <w:szCs w:val="20"/>
    </w:rPr>
  </w:style>
  <w:style w:type="paragraph" w:customStyle="1" w:styleId="8">
    <w:name w:val="標題8"/>
    <w:basedOn w:val="7"/>
    <w:qFormat/>
    <w:rsid w:val="009A2D53"/>
    <w:pPr>
      <w:spacing w:after="60"/>
      <w:ind w:left="6736" w:hanging="1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51BB-18CC-45D0-8336-3C38F44F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趙玉巧處長</dc:creator>
  <cp:keywords/>
  <dc:description/>
  <cp:lastModifiedBy>趙玉巧處長</cp:lastModifiedBy>
  <cp:revision>10</cp:revision>
  <dcterms:created xsi:type="dcterms:W3CDTF">2020-09-03T08:47:00Z</dcterms:created>
  <dcterms:modified xsi:type="dcterms:W3CDTF">2020-09-03T08:51:00Z</dcterms:modified>
</cp:coreProperties>
</file>